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制造业单项冠军培育遴选重点领域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一、新一代信息技术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基础电子元器件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电子专用设备与测量仪器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集成电路制造设备和零部件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集成电路制造与封测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网络设备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智能感知设备及器件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新型计算设备（服务器、存储设备等）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智能终端产品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物联网器件及设备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新型显示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信息安全设备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人工智能软硬件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网络与信息安全软件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工业互联网平台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二、装备制造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工业机器人与服务机器人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数控机床与先进成形装备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增材制造装备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大型工程机械及部件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重大成套设备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智能测控装备（仪器仪表）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工业母机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关键基础零部件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铁路高端装备及部件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轨道交通装备及部件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先进适用农机装备及部件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高效专用农机装备及部件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先进纺织机械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智能化食品饮料机械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高端医疗装备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工业气体关键技术及装备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三、新材料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先进钢铁材料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先进有色金属材料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先进石化化工新材料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先进无机非金属材料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先进稀土材料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高储能和关键电子材料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高性能纤维及制品和复合材料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生物基和生物医用材料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先进半导体材料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新型显示材料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新能源材料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新能源电池材料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绿色节能建筑材料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其他前沿新材料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四、新能源汽车和智能网联汽车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新能源汽车整车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电驱动系统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动力电池系统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燃料电池系统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环境感知设备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车载联网设备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计算平台及操作系统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开发软件及工具链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软硬件测试设备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其他零部件及相关设备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五、新能源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核燃料加工及设备制造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核电装备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风能发电机装备及零部件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风能发电其他相关装备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太阳能设备和生产装备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太阳能电池与锂离子电池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生物质能及其他新能源设备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智能电力控制设备及电缆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电力电子基础元器件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六、节能环保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高效节能通用设备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高效节能专用设备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高效节能电气机械器材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高效节能工业控制装置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环境保护专用设备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环境保护监测仪器及电子设备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环境污染处理药剂材料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矿产资源与工业废弃资源利用设备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城乡生活垃圾与农林废弃资源利用设备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水及海水资源利用设备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七、航空航天与海洋装备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航空器整机（不含无人机）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航空发动机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航空机载系统和设备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航空零部件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无人机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卫星应用技术设备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船舶与海洋工程装备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深海石油钻探设备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其他海洋相关设备与产品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海洋环境监测与探测装备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八、高端化工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合成树脂及工程塑料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特种尼龙及纤维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聚氨酯新材料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特种橡胶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功能化学品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轻工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智能家电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新型纤维材料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智能绿色印染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智能纺机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预制菜产业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智能制浆设备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木材加工类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十、其他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数字创意技术设备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冰雪装备器材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文物保护装备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智慧医疗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绿色农用生物产品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5F64E5"/>
    <w:multiLevelType w:val="singleLevel"/>
    <w:tmpl w:val="7F5F64E5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